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right="-9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Membership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right="-90"/>
        <w:rPr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November 16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2022 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:00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Zoom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Linked 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right="-90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Present: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B. Ahfeld, R. Aiken, A. Gold, M. Remington, M. Silver, C. Wilt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Absent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B. Dixon, M. Doyle, C. Steria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Review Tactics from Strategic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Establish committee ☑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new sectors list has been established. That will be an ongoing process. ☑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Defining an outreach plan is the next course of action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Measures Discussion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committee needs to determine the most appropriate goals: number of new members, percent increase in membership, additional revenue dollars, percent rise in revenue?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committee should also keep in mind that another objective for the committee is “member engagement” which is less likely to offer a clear metric, but which will also help meet those measurable goals by ensuring that the organization remains relevant to members</w:t>
        <w:tab/>
        <w:t xml:space="preserve">. It was noted that partnering with the Communications Committee addresses this.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Additional Member Targets/Sectors and Thoughts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Previous Loan Recipients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(Also consider those members sharing their stories either through virtual or in-person format, as has previously been done)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Lapsed members; really dive into those orgs and determine what changes prompted them to lapse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Education; the rest of the colleges, plus community colleges, IAM, …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original SLC Economic Development Board list from Tricia (Aviva will ask for that)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Leverage our connections in thoughtful ways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Consider avoiding polarizing political personalities and leverage those KINDS of connections as committee guests. Garry Douglas for example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Outreach Plan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Rob will gather all of these lists, including current member list, lapsed members, loan recipients, sectors list, People of Interest list, and whatever else we throw at  him into a mini-CRM/spreadsheet that the committee will use to make outreach assignments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Adjournment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10:30 am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December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Zoom</w:t>
      </w:r>
    </w:p>
    <w:sectPr>
      <w:headerReference r:id="rId8" w:type="default"/>
      <w:footerReference r:id="rId9" w:type="default"/>
      <w:pgSz w:h="15840" w:w="12240" w:orient="portrait"/>
      <w:pgMar w:bottom="720" w:top="2304" w:left="108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-471487</wp:posOffset>
          </wp:positionH>
          <wp:positionV relativeFrom="paragraph">
            <wp:posOffset>-266699</wp:posOffset>
          </wp:positionV>
          <wp:extent cx="7282542" cy="1132840"/>
          <wp:effectExtent b="0" l="0" r="0" t="0"/>
          <wp:wrapSquare wrapText="bothSides" distB="0" distT="0" distL="114300" distR="114300"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5884237721?pwd=eFJ0RktWOFZ1T2R5Z1oyVUgrc0wxdz09#success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s2te0Trsj4XNPbDQG2mO4G8og==">AMUW2mUzMQNLobbIggWmVYdszcaPAqURKJ8YuuQelxa9CiVw7z3hntdYxOrUNF5MBWZZnTaW8HZwHpJHjoRE0xHFcwVWecR8+sZkot1iONbWDoPaVeSGPBTLWNIs9oI9L4wyMLUO1vVJ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